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5E950" w14:textId="38BA6B3D" w:rsidR="00DB1177" w:rsidRDefault="00806EDA"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62B0E517" wp14:editId="68E699E6">
            <wp:simplePos x="0" y="0"/>
            <wp:positionH relativeFrom="margin">
              <wp:posOffset>1666875</wp:posOffset>
            </wp:positionH>
            <wp:positionV relativeFrom="paragraph">
              <wp:posOffset>-209550</wp:posOffset>
            </wp:positionV>
            <wp:extent cx="1952625" cy="714375"/>
            <wp:effectExtent l="0" t="0" r="9525" b="9525"/>
            <wp:wrapNone/>
            <wp:docPr id="1023238738" name="Imagen 1023238738" descr="Imagen que contiene dibuj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dibuj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69B99D" w14:textId="77777777" w:rsidR="00EE4117" w:rsidRDefault="00EE4117" w:rsidP="00EE4117">
      <w:pPr>
        <w:jc w:val="both"/>
      </w:pPr>
    </w:p>
    <w:p w14:paraId="39F3A238" w14:textId="77777777" w:rsidR="00EE4117" w:rsidRDefault="00EE4117" w:rsidP="00EE4117">
      <w:pPr>
        <w:jc w:val="both"/>
      </w:pPr>
    </w:p>
    <w:p w14:paraId="57ACA02F" w14:textId="7A775B3F" w:rsidR="00EE4117" w:rsidRPr="00806EDA" w:rsidRDefault="00EE4117" w:rsidP="00806EDA">
      <w:pPr>
        <w:jc w:val="center"/>
        <w:rPr>
          <w:b/>
          <w:bCs/>
          <w:color w:val="002060"/>
          <w:sz w:val="40"/>
          <w:szCs w:val="40"/>
        </w:rPr>
      </w:pPr>
      <w:r w:rsidRPr="00806EDA">
        <w:rPr>
          <w:b/>
          <w:bCs/>
          <w:color w:val="002060"/>
          <w:sz w:val="40"/>
          <w:szCs w:val="40"/>
        </w:rPr>
        <w:t>NOTA INFORMATIVA</w:t>
      </w:r>
    </w:p>
    <w:p w14:paraId="1F3CC74C" w14:textId="77777777" w:rsidR="001C5EA9" w:rsidRDefault="00062631" w:rsidP="00155F21">
      <w:pPr>
        <w:spacing w:after="0" w:line="360" w:lineRule="auto"/>
        <w:jc w:val="both"/>
        <w:rPr>
          <w:b/>
          <w:bCs/>
          <w:color w:val="002060"/>
        </w:rPr>
      </w:pPr>
      <w:r>
        <w:t xml:space="preserve">El Boletín Oficial del Estado de 30 de </w:t>
      </w:r>
      <w:r w:rsidR="00155F21">
        <w:t>julio</w:t>
      </w:r>
      <w:r>
        <w:t xml:space="preserve"> de 2026 </w:t>
      </w:r>
      <w:r w:rsidR="00155F21">
        <w:t>ha publicado</w:t>
      </w:r>
      <w:r>
        <w:t xml:space="preserve"> el </w:t>
      </w:r>
      <w:r w:rsidR="001C5EA9" w:rsidRPr="001C5EA9">
        <w:rPr>
          <w:b/>
          <w:bCs/>
          <w:color w:val="002060"/>
        </w:rPr>
        <w:t>Real Decreto 643/2026, de 29 de julio, por el que se modifican el Reglamento General sobre inscripción de empresas y afiliación, altas, bajas y variaciones de datos de trabajadores en la Seguridad Social, aprobado por el Real Decreto 84/1996, de 26 de enero, y el Reglamento General de Recaudación de la Seguridad Social, aprobado por el Real Decreto 1415/2004, de 11 de junio.</w:t>
      </w:r>
    </w:p>
    <w:p w14:paraId="654DD29E" w14:textId="77777777" w:rsidR="001C5EA9" w:rsidRDefault="001C5EA9" w:rsidP="00155F21">
      <w:pPr>
        <w:spacing w:after="0" w:line="360" w:lineRule="auto"/>
        <w:jc w:val="both"/>
        <w:rPr>
          <w:b/>
          <w:bCs/>
          <w:color w:val="002060"/>
        </w:rPr>
      </w:pPr>
    </w:p>
    <w:p w14:paraId="581C0540" w14:textId="79B66501" w:rsidR="00155F21" w:rsidRDefault="00155F21" w:rsidP="00155F21">
      <w:pPr>
        <w:spacing w:after="0" w:line="360" w:lineRule="auto"/>
        <w:jc w:val="both"/>
      </w:pPr>
      <w:r w:rsidRPr="00155F21">
        <w:t xml:space="preserve">Esta norma simplifica trámites administrativos para las empresas y moderniza el sistema de cobro de deudas. </w:t>
      </w:r>
    </w:p>
    <w:p w14:paraId="60BF51BD" w14:textId="77777777" w:rsidR="00155F21" w:rsidRDefault="00155F21" w:rsidP="00155F21">
      <w:pPr>
        <w:spacing w:after="0" w:line="360" w:lineRule="auto"/>
        <w:jc w:val="both"/>
      </w:pPr>
    </w:p>
    <w:p w14:paraId="3E4DEEE0" w14:textId="580FDF39" w:rsidR="00155F21" w:rsidRDefault="00155F21" w:rsidP="00155F21">
      <w:pPr>
        <w:spacing w:after="0" w:line="360" w:lineRule="auto"/>
        <w:jc w:val="both"/>
      </w:pPr>
      <w:r>
        <w:t>Las</w:t>
      </w:r>
      <w:r w:rsidRPr="00155F21">
        <w:t xml:space="preserve"> tres novedades más destacadas son: </w:t>
      </w:r>
    </w:p>
    <w:p w14:paraId="7E8E99E7" w14:textId="77777777" w:rsidR="00155F21" w:rsidRPr="00155F21" w:rsidRDefault="00155F21" w:rsidP="00155F21">
      <w:pPr>
        <w:spacing w:after="0" w:line="360" w:lineRule="auto"/>
        <w:jc w:val="both"/>
      </w:pPr>
    </w:p>
    <w:p w14:paraId="4ED1E542" w14:textId="77777777" w:rsidR="00155F21" w:rsidRPr="00155F21" w:rsidRDefault="00155F21" w:rsidP="00155F21">
      <w:pPr>
        <w:shd w:val="clear" w:color="auto" w:fill="002060"/>
        <w:spacing w:after="0" w:line="360" w:lineRule="auto"/>
        <w:jc w:val="both"/>
        <w:rPr>
          <w:b/>
          <w:bCs/>
          <w:color w:val="FFFFFF" w:themeColor="background1"/>
        </w:rPr>
      </w:pPr>
      <w:r w:rsidRPr="00155F21">
        <w:rPr>
          <w:b/>
          <w:bCs/>
          <w:color w:val="FFFFFF" w:themeColor="background1"/>
        </w:rPr>
        <w:t>1. Ampliación del plazo para bajas y variaciones de datos</w:t>
      </w:r>
    </w:p>
    <w:p w14:paraId="7EACC8F1" w14:textId="77777777" w:rsidR="00155F21" w:rsidRDefault="00155F21" w:rsidP="00155F21">
      <w:pPr>
        <w:spacing w:after="0" w:line="360" w:lineRule="auto"/>
        <w:ind w:left="360"/>
        <w:jc w:val="both"/>
        <w:rPr>
          <w:b/>
          <w:bCs/>
          <w:color w:val="002060"/>
        </w:rPr>
      </w:pPr>
    </w:p>
    <w:p w14:paraId="655505AB" w14:textId="44606F85" w:rsidR="00155F21" w:rsidRPr="00155F21" w:rsidRDefault="00155F21" w:rsidP="00155F21">
      <w:pPr>
        <w:numPr>
          <w:ilvl w:val="0"/>
          <w:numId w:val="5"/>
        </w:numPr>
        <w:spacing w:after="0" w:line="360" w:lineRule="auto"/>
        <w:jc w:val="both"/>
      </w:pPr>
      <w:r w:rsidRPr="00155F21">
        <w:rPr>
          <w:b/>
          <w:bCs/>
          <w:color w:val="002060"/>
        </w:rPr>
        <w:t>Se amplía de 3 a 6 días naturales</w:t>
      </w:r>
      <w:r w:rsidRPr="00155F21">
        <w:t xml:space="preserve"> el plazo para que las empresas soliciten la </w:t>
      </w:r>
      <w:r w:rsidRPr="001C5EA9">
        <w:rPr>
          <w:b/>
          <w:bCs/>
          <w:color w:val="002060"/>
        </w:rPr>
        <w:t>baja</w:t>
      </w:r>
      <w:r w:rsidRPr="001C5EA9">
        <w:rPr>
          <w:color w:val="002060"/>
        </w:rPr>
        <w:t xml:space="preserve"> </w:t>
      </w:r>
      <w:r w:rsidRPr="00155F21">
        <w:t xml:space="preserve">de un trabajador o comuniquen </w:t>
      </w:r>
      <w:r w:rsidRPr="001C5EA9">
        <w:rPr>
          <w:b/>
          <w:bCs/>
          <w:color w:val="002060"/>
        </w:rPr>
        <w:t>variaciones</w:t>
      </w:r>
      <w:r w:rsidRPr="001C5EA9">
        <w:rPr>
          <w:color w:val="002060"/>
        </w:rPr>
        <w:t xml:space="preserve"> </w:t>
      </w:r>
      <w:r w:rsidRPr="00155F21">
        <w:t>en sus datos ante la TGSS.</w:t>
      </w:r>
    </w:p>
    <w:p w14:paraId="09C75228" w14:textId="447A31A9" w:rsidR="00155F21" w:rsidRPr="00155F21" w:rsidRDefault="00155F21" w:rsidP="00155F21">
      <w:pPr>
        <w:numPr>
          <w:ilvl w:val="0"/>
          <w:numId w:val="5"/>
        </w:numPr>
        <w:spacing w:after="0" w:line="360" w:lineRule="auto"/>
        <w:jc w:val="both"/>
      </w:pPr>
      <w:r w:rsidRPr="00155F21">
        <w:t>El plazo se cuenta a partir del día siguiente al cese de la actividad o de producirse la modificación. Al ser días naturales, incluye sábados, domingos y festivos.</w:t>
      </w:r>
    </w:p>
    <w:p w14:paraId="3EA784A0" w14:textId="5F073299" w:rsidR="00155F21" w:rsidRPr="00155F21" w:rsidRDefault="00155F21" w:rsidP="00155F21">
      <w:pPr>
        <w:numPr>
          <w:ilvl w:val="0"/>
          <w:numId w:val="5"/>
        </w:numPr>
        <w:spacing w:after="0" w:line="360" w:lineRule="auto"/>
        <w:jc w:val="both"/>
      </w:pPr>
      <w:r w:rsidRPr="00155F21">
        <w:rPr>
          <w:b/>
          <w:bCs/>
          <w:color w:val="002060"/>
        </w:rPr>
        <w:t>El plazo de comunicación para las altas no cambia</w:t>
      </w:r>
      <w:r w:rsidRPr="00155F21">
        <w:t>; deben seguir tramitándose de forma previa al inicio de la relación laboral.</w:t>
      </w:r>
    </w:p>
    <w:p w14:paraId="0B77A6B1" w14:textId="77777777" w:rsidR="00155F21" w:rsidRDefault="00155F21" w:rsidP="00155F21">
      <w:pPr>
        <w:spacing w:after="0" w:line="360" w:lineRule="auto"/>
        <w:jc w:val="both"/>
        <w:rPr>
          <w:b/>
          <w:bCs/>
          <w:color w:val="002060"/>
        </w:rPr>
      </w:pPr>
    </w:p>
    <w:p w14:paraId="179FAB20" w14:textId="77777777" w:rsidR="00155F21" w:rsidRDefault="00155F21" w:rsidP="00155F21">
      <w:pPr>
        <w:spacing w:after="0" w:line="360" w:lineRule="auto"/>
        <w:jc w:val="both"/>
        <w:rPr>
          <w:b/>
          <w:bCs/>
          <w:color w:val="002060"/>
        </w:rPr>
      </w:pPr>
    </w:p>
    <w:p w14:paraId="3B97BB87" w14:textId="09CCA8E2" w:rsidR="00155F21" w:rsidRPr="00155F21" w:rsidRDefault="00155F21" w:rsidP="00155F21">
      <w:pPr>
        <w:shd w:val="clear" w:color="auto" w:fill="002060"/>
        <w:spacing w:after="0" w:line="360" w:lineRule="auto"/>
        <w:jc w:val="both"/>
        <w:rPr>
          <w:b/>
          <w:bCs/>
          <w:color w:val="FFFFFF" w:themeColor="background1"/>
        </w:rPr>
      </w:pPr>
      <w:r w:rsidRPr="00155F21">
        <w:rPr>
          <w:b/>
          <w:bCs/>
          <w:color w:val="FFFFFF" w:themeColor="background1"/>
        </w:rPr>
        <w:t>2. Obligación de comunicar el Código de Ocupación Laboral (CNO)</w:t>
      </w:r>
    </w:p>
    <w:p w14:paraId="42B137C8" w14:textId="77777777" w:rsidR="00155F21" w:rsidRDefault="00155F21" w:rsidP="00155F21">
      <w:pPr>
        <w:spacing w:after="0" w:line="360" w:lineRule="auto"/>
        <w:ind w:left="360"/>
        <w:jc w:val="both"/>
        <w:rPr>
          <w:b/>
          <w:bCs/>
          <w:color w:val="002060"/>
        </w:rPr>
      </w:pPr>
    </w:p>
    <w:p w14:paraId="4701F5DF" w14:textId="0729D535" w:rsidR="00155F21" w:rsidRPr="00155F21" w:rsidRDefault="00155F21" w:rsidP="00155F21">
      <w:pPr>
        <w:numPr>
          <w:ilvl w:val="0"/>
          <w:numId w:val="6"/>
        </w:numPr>
        <w:spacing w:after="0" w:line="360" w:lineRule="auto"/>
        <w:jc w:val="both"/>
      </w:pPr>
      <w:r w:rsidRPr="00155F21">
        <w:t xml:space="preserve">Se concede un </w:t>
      </w:r>
      <w:r w:rsidRPr="00155F21">
        <w:rPr>
          <w:b/>
          <w:bCs/>
          <w:color w:val="002060"/>
        </w:rPr>
        <w:t>plazo de 6 meses</w:t>
      </w:r>
      <w:r w:rsidRPr="00155F21">
        <w:rPr>
          <w:color w:val="002060"/>
        </w:rPr>
        <w:t xml:space="preserve"> </w:t>
      </w:r>
      <w:r w:rsidRPr="00155F21">
        <w:t xml:space="preserve">(hasta </w:t>
      </w:r>
      <w:r w:rsidR="00615363">
        <w:t>31</w:t>
      </w:r>
      <w:r w:rsidRPr="00155F21">
        <w:t xml:space="preserve"> de enero de 2027) para que todas las empresas </w:t>
      </w:r>
      <w:r w:rsidRPr="00155F21">
        <w:rPr>
          <w:b/>
          <w:bCs/>
          <w:color w:val="002060"/>
        </w:rPr>
        <w:t>declaren a la TGSS el código de ocupación</w:t>
      </w:r>
      <w:r w:rsidRPr="00155F21">
        <w:rPr>
          <w:color w:val="002060"/>
        </w:rPr>
        <w:t xml:space="preserve"> </w:t>
      </w:r>
      <w:r w:rsidRPr="00155F21">
        <w:t xml:space="preserve">(conforme a la Clasificación Nacional de Ocupaciones) </w:t>
      </w:r>
      <w:r w:rsidRPr="00155F21">
        <w:rPr>
          <w:b/>
          <w:bCs/>
          <w:color w:val="002060"/>
        </w:rPr>
        <w:t xml:space="preserve">de todos los empleados que figuren en alta. </w:t>
      </w:r>
    </w:p>
    <w:p w14:paraId="31423EF5" w14:textId="00A914D0" w:rsidR="00155F21" w:rsidRPr="00155F21" w:rsidRDefault="00155F21" w:rsidP="00155F21">
      <w:pPr>
        <w:numPr>
          <w:ilvl w:val="0"/>
          <w:numId w:val="6"/>
        </w:numPr>
        <w:spacing w:after="0" w:line="360" w:lineRule="auto"/>
        <w:jc w:val="both"/>
      </w:pPr>
      <w:r>
        <w:t>El objetivo es r</w:t>
      </w:r>
      <w:r w:rsidRPr="00155F21">
        <w:t>ecabar datos precisos para la futura aplicación de coeficientes reductores de la edad de jubilación en actividades que destaquen por su penosidad, toxicidad o peligrosidad.</w:t>
      </w:r>
    </w:p>
    <w:p w14:paraId="4B5ABA52" w14:textId="77777777" w:rsidR="00155F21" w:rsidRPr="00155F21" w:rsidRDefault="00155F21" w:rsidP="00155F21">
      <w:pPr>
        <w:spacing w:after="0" w:line="360" w:lineRule="auto"/>
        <w:jc w:val="both"/>
      </w:pPr>
    </w:p>
    <w:p w14:paraId="1D22EF57" w14:textId="77777777" w:rsidR="00155F21" w:rsidRPr="00155F21" w:rsidRDefault="00155F21" w:rsidP="00155F21">
      <w:pPr>
        <w:spacing w:after="0" w:line="360" w:lineRule="auto"/>
        <w:jc w:val="both"/>
      </w:pPr>
    </w:p>
    <w:p w14:paraId="557619C4" w14:textId="77777777" w:rsidR="00155F21" w:rsidRPr="00155F21" w:rsidRDefault="00155F21" w:rsidP="00155F21">
      <w:pPr>
        <w:shd w:val="clear" w:color="auto" w:fill="002060"/>
        <w:spacing w:after="0" w:line="360" w:lineRule="auto"/>
        <w:jc w:val="both"/>
        <w:rPr>
          <w:b/>
          <w:bCs/>
          <w:color w:val="FFFFFF" w:themeColor="background1"/>
        </w:rPr>
      </w:pPr>
      <w:r w:rsidRPr="00155F21">
        <w:rPr>
          <w:b/>
          <w:bCs/>
          <w:color w:val="FFFFFF" w:themeColor="background1"/>
        </w:rPr>
        <w:t>3. Novedades en el aplazamiento de deudas con la Seguridad Social</w:t>
      </w:r>
    </w:p>
    <w:p w14:paraId="0AB12128" w14:textId="77777777" w:rsidR="00155F21" w:rsidRPr="00155F21" w:rsidRDefault="00155F21" w:rsidP="00155F21">
      <w:pPr>
        <w:spacing w:after="0" w:line="360" w:lineRule="auto"/>
        <w:ind w:left="360"/>
        <w:jc w:val="both"/>
        <w:rPr>
          <w:color w:val="002060"/>
        </w:rPr>
      </w:pPr>
    </w:p>
    <w:p w14:paraId="2EC74919" w14:textId="5BDC1556" w:rsidR="00155F21" w:rsidRPr="00155F21" w:rsidRDefault="00155F21" w:rsidP="00155F21">
      <w:pPr>
        <w:numPr>
          <w:ilvl w:val="0"/>
          <w:numId w:val="7"/>
        </w:numPr>
        <w:spacing w:after="0" w:line="360" w:lineRule="auto"/>
        <w:jc w:val="both"/>
      </w:pPr>
      <w:r w:rsidRPr="00155F21">
        <w:rPr>
          <w:b/>
          <w:bCs/>
          <w:color w:val="002060"/>
        </w:rPr>
        <w:t>Menor umbral de denegación</w:t>
      </w:r>
      <w:r w:rsidRPr="00155F21">
        <w:t xml:space="preserve">: Anteriormente se podía rechazar el aplazamiento si la deuda era inferior a </w:t>
      </w:r>
      <w:r>
        <w:t>2</w:t>
      </w:r>
      <w:r w:rsidRPr="00155F21">
        <w:t xml:space="preserve"> mensualidades del Salario Mínimo Interprofesional (SMI). Con este decreto, </w:t>
      </w:r>
      <w:r w:rsidRPr="00155F21">
        <w:rPr>
          <w:b/>
          <w:bCs/>
          <w:color w:val="002060"/>
        </w:rPr>
        <w:t>el límite se reduce a un único SMI mensual</w:t>
      </w:r>
      <w:r w:rsidRPr="00155F21">
        <w:t>, facilitando el acceso al aplazamiento para deudas más pequeñas.</w:t>
      </w:r>
    </w:p>
    <w:p w14:paraId="2E4C1634" w14:textId="77777777" w:rsidR="00155F21" w:rsidRPr="00155F21" w:rsidRDefault="00155F21" w:rsidP="00155F21">
      <w:pPr>
        <w:numPr>
          <w:ilvl w:val="0"/>
          <w:numId w:val="7"/>
        </w:numPr>
        <w:spacing w:after="0" w:line="360" w:lineRule="auto"/>
        <w:jc w:val="both"/>
      </w:pPr>
      <w:r w:rsidRPr="00155F21">
        <w:t>Concesión automatizada: Se agiliza la tramitación mediante la resolución automática en aquellos aplazamientos que no requieran la constitución de garantías.</w:t>
      </w:r>
    </w:p>
    <w:p w14:paraId="37FCA5BA" w14:textId="252B74DD" w:rsidR="00155F21" w:rsidRPr="00155F21" w:rsidRDefault="00155F21" w:rsidP="00155F21">
      <w:pPr>
        <w:numPr>
          <w:ilvl w:val="0"/>
          <w:numId w:val="7"/>
        </w:numPr>
        <w:spacing w:after="0" w:line="360" w:lineRule="auto"/>
        <w:jc w:val="both"/>
      </w:pPr>
      <w:r w:rsidRPr="00155F21">
        <w:t xml:space="preserve">Clarificación de cuotas inaplazables: Se ratifica que no se pueden aplazar ni la cuota obrera ni las cuotas por contingencias de accidentes de trabajo y enfermedades profesionales (tanto para el Régimen General como para </w:t>
      </w:r>
      <w:r w:rsidRPr="00155F21">
        <w:rPr>
          <w:b/>
          <w:bCs/>
          <w:color w:val="002060"/>
        </w:rPr>
        <w:t>autónomos</w:t>
      </w:r>
      <w:r w:rsidRPr="00155F21">
        <w:rPr>
          <w:color w:val="002060"/>
        </w:rPr>
        <w:t xml:space="preserve"> </w:t>
      </w:r>
      <w:r w:rsidRPr="00155F21">
        <w:t>en el RETA</w:t>
      </w:r>
      <w:r>
        <w:t>)</w:t>
      </w:r>
    </w:p>
    <w:p w14:paraId="7086925C" w14:textId="726EAC6E" w:rsidR="002A0726" w:rsidRDefault="002A0726" w:rsidP="00060B85">
      <w:pPr>
        <w:spacing w:after="0" w:line="360" w:lineRule="auto"/>
        <w:jc w:val="both"/>
      </w:pPr>
    </w:p>
    <w:sectPr w:rsidR="002A07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5A21"/>
    <w:multiLevelType w:val="multilevel"/>
    <w:tmpl w:val="E8BE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702363"/>
    <w:multiLevelType w:val="hybridMultilevel"/>
    <w:tmpl w:val="A7864B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22860"/>
    <w:multiLevelType w:val="multilevel"/>
    <w:tmpl w:val="2460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753FE6"/>
    <w:multiLevelType w:val="hybridMultilevel"/>
    <w:tmpl w:val="286E4F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402ED0"/>
    <w:multiLevelType w:val="multilevel"/>
    <w:tmpl w:val="57A60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0E0951"/>
    <w:multiLevelType w:val="multilevel"/>
    <w:tmpl w:val="57A02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03C0D"/>
    <w:multiLevelType w:val="hybridMultilevel"/>
    <w:tmpl w:val="15BC45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118340">
    <w:abstractNumId w:val="6"/>
  </w:num>
  <w:num w:numId="2" w16cid:durableId="1310406359">
    <w:abstractNumId w:val="5"/>
  </w:num>
  <w:num w:numId="3" w16cid:durableId="1752702451">
    <w:abstractNumId w:val="1"/>
  </w:num>
  <w:num w:numId="4" w16cid:durableId="170534368">
    <w:abstractNumId w:val="3"/>
  </w:num>
  <w:num w:numId="5" w16cid:durableId="449400612">
    <w:abstractNumId w:val="2"/>
  </w:num>
  <w:num w:numId="6" w16cid:durableId="1529025793">
    <w:abstractNumId w:val="4"/>
  </w:num>
  <w:num w:numId="7" w16cid:durableId="1777480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759"/>
    <w:rsid w:val="000156FD"/>
    <w:rsid w:val="00060B85"/>
    <w:rsid w:val="00062631"/>
    <w:rsid w:val="00155F21"/>
    <w:rsid w:val="001B608D"/>
    <w:rsid w:val="001C5EA9"/>
    <w:rsid w:val="001D2A72"/>
    <w:rsid w:val="002528B4"/>
    <w:rsid w:val="002A0726"/>
    <w:rsid w:val="003A5CDC"/>
    <w:rsid w:val="0044664B"/>
    <w:rsid w:val="00460001"/>
    <w:rsid w:val="00615363"/>
    <w:rsid w:val="00630F9B"/>
    <w:rsid w:val="0066250F"/>
    <w:rsid w:val="007A5FA4"/>
    <w:rsid w:val="00806EDA"/>
    <w:rsid w:val="00855D13"/>
    <w:rsid w:val="009571E2"/>
    <w:rsid w:val="00A80DC2"/>
    <w:rsid w:val="00AA4726"/>
    <w:rsid w:val="00C00645"/>
    <w:rsid w:val="00C40759"/>
    <w:rsid w:val="00CC46DF"/>
    <w:rsid w:val="00D554F0"/>
    <w:rsid w:val="00D76519"/>
    <w:rsid w:val="00DB1177"/>
    <w:rsid w:val="00E52760"/>
    <w:rsid w:val="00E5384F"/>
    <w:rsid w:val="00E61F73"/>
    <w:rsid w:val="00E80C58"/>
    <w:rsid w:val="00E9109A"/>
    <w:rsid w:val="00EE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56BEE"/>
  <w15:chartTrackingRefBased/>
  <w15:docId w15:val="{387956F5-2AAE-47D4-BC22-664EA9BC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40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40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407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407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407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07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407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407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407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407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407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407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4075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4075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075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4075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4075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4075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407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40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407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40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40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4075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4075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4075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407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4075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40759"/>
    <w:rPr>
      <w:b/>
      <w:bCs/>
      <w:smallCaps/>
      <w:color w:val="0F4761" w:themeColor="accent1" w:themeShade="BF"/>
      <w:spacing w:val="5"/>
    </w:rPr>
  </w:style>
  <w:style w:type="paragraph" w:customStyle="1" w:styleId="parrafo">
    <w:name w:val="parrafo"/>
    <w:basedOn w:val="Normal"/>
    <w:rsid w:val="00EE4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062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55F21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55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363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UPTA Andalucía</dc:creator>
  <cp:keywords/>
  <dc:description/>
  <cp:lastModifiedBy>UPTA ESPAÑA VI</cp:lastModifiedBy>
  <cp:revision>13</cp:revision>
  <cp:lastPrinted>2025-04-10T08:59:00Z</cp:lastPrinted>
  <dcterms:created xsi:type="dcterms:W3CDTF">2025-04-07T16:18:00Z</dcterms:created>
  <dcterms:modified xsi:type="dcterms:W3CDTF">2026-08-25T11:18:00Z</dcterms:modified>
</cp:coreProperties>
</file>